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E8C" w:rsidRDefault="00224E8C" w:rsidP="005960BF">
      <w:pPr>
        <w:pStyle w:val="Default"/>
        <w:spacing w:line="276" w:lineRule="auto"/>
        <w:rPr>
          <w:rFonts w:eastAsia="Calibri" w:cstheme="minorHAnsi"/>
          <w:color w:val="00000A"/>
          <w:sz w:val="22"/>
          <w:szCs w:val="22"/>
          <w:lang w:val="en-US"/>
        </w:rPr>
      </w:pPr>
      <w:r>
        <w:rPr>
          <w:rFonts w:eastAsia="Calibri" w:cstheme="minorHAnsi"/>
          <w:b/>
          <w:color w:val="00000A"/>
          <w:sz w:val="22"/>
          <w:szCs w:val="22"/>
          <w:lang w:val="en-US"/>
        </w:rPr>
        <w:t>Dataset title:</w:t>
      </w:r>
      <w:r w:rsidRPr="00CE5539">
        <w:rPr>
          <w:rFonts w:eastAsia="Calibri" w:cstheme="minorHAnsi"/>
          <w:color w:val="00000A"/>
          <w:sz w:val="22"/>
          <w:szCs w:val="22"/>
          <w:lang w:val="en-US"/>
        </w:rPr>
        <w:t xml:space="preserve"> Genotype</w:t>
      </w:r>
      <w:r>
        <w:rPr>
          <w:rFonts w:eastAsia="Calibri" w:cstheme="minorHAnsi"/>
          <w:color w:val="00000A"/>
          <w:sz w:val="22"/>
          <w:szCs w:val="22"/>
          <w:lang w:val="en-US"/>
        </w:rPr>
        <w:t>s of breeding Common quails (</w:t>
      </w:r>
      <w:r w:rsidRPr="00647E81">
        <w:rPr>
          <w:rFonts w:eastAsia="Calibri" w:cstheme="minorHAnsi"/>
          <w:i/>
          <w:color w:val="00000A"/>
          <w:sz w:val="22"/>
          <w:szCs w:val="22"/>
          <w:lang w:val="en-US"/>
        </w:rPr>
        <w:t>Coturnix coturnix</w:t>
      </w:r>
      <w:r>
        <w:rPr>
          <w:rFonts w:eastAsia="Calibri" w:cstheme="minorHAnsi"/>
          <w:color w:val="00000A"/>
          <w:sz w:val="22"/>
          <w:szCs w:val="22"/>
          <w:lang w:val="en-US"/>
        </w:rPr>
        <w:t>) and offspring from Northeast Spain.</w:t>
      </w:r>
    </w:p>
    <w:p w:rsidR="005960BF" w:rsidRPr="005960BF" w:rsidRDefault="005960BF" w:rsidP="005960BF">
      <w:pPr>
        <w:pStyle w:val="Default"/>
        <w:spacing w:line="276" w:lineRule="auto"/>
        <w:rPr>
          <w:rFonts w:eastAsia="Calibri" w:cstheme="minorHAnsi"/>
          <w:color w:val="00000A"/>
          <w:sz w:val="22"/>
          <w:szCs w:val="22"/>
          <w:lang w:val="en-US"/>
        </w:rPr>
      </w:pPr>
    </w:p>
    <w:p w:rsidR="00224E8C" w:rsidRPr="005960BF" w:rsidRDefault="00224E8C" w:rsidP="005960BF">
      <w:pPr>
        <w:rPr>
          <w:rFonts w:cs="AdvP49811"/>
        </w:rPr>
      </w:pPr>
      <w:proofErr w:type="spellStart"/>
      <w:r w:rsidRPr="00224E8C">
        <w:rPr>
          <w:rFonts w:ascii="Calibri" w:eastAsia="Calibri" w:hAnsi="Calibri" w:cstheme="minorHAnsi"/>
          <w:b/>
          <w:color w:val="00000A"/>
        </w:rPr>
        <w:t>Authors</w:t>
      </w:r>
      <w:proofErr w:type="spellEnd"/>
      <w:r w:rsidRPr="00224E8C">
        <w:rPr>
          <w:rFonts w:ascii="Calibri" w:eastAsia="Calibri" w:hAnsi="Calibri" w:cstheme="minorHAnsi"/>
          <w:b/>
          <w:color w:val="00000A"/>
        </w:rPr>
        <w:t>:</w:t>
      </w:r>
      <w:r w:rsidR="005960BF">
        <w:rPr>
          <w:rFonts w:ascii="Calibri" w:eastAsia="Calibri" w:hAnsi="Calibri" w:cstheme="minorHAnsi"/>
          <w:b/>
          <w:color w:val="00000A"/>
        </w:rPr>
        <w:t xml:space="preserve"> </w:t>
      </w:r>
      <w:proofErr w:type="spellStart"/>
      <w:r w:rsidRPr="00E92C61">
        <w:rPr>
          <w:rFonts w:cs="AdvP49811"/>
        </w:rPr>
        <w:t>Ines</w:t>
      </w:r>
      <w:proofErr w:type="spellEnd"/>
      <w:r w:rsidRPr="00E92C61">
        <w:rPr>
          <w:rFonts w:cs="AdvP49811"/>
        </w:rPr>
        <w:t xml:space="preserve"> Sanchez-Donoso</w:t>
      </w:r>
      <w:r w:rsidRPr="00E92C61">
        <w:rPr>
          <w:rFonts w:cs="AdvP49811"/>
          <w:vertAlign w:val="superscript"/>
        </w:rPr>
        <w:t>1</w:t>
      </w:r>
      <w:r w:rsidRPr="00E92C61">
        <w:rPr>
          <w:rFonts w:cs="AdvP49811"/>
        </w:rPr>
        <w:t>, Carles Vilà</w:t>
      </w:r>
      <w:r w:rsidRPr="00E92C61">
        <w:rPr>
          <w:rFonts w:cs="AdvP49811"/>
          <w:vertAlign w:val="superscript"/>
        </w:rPr>
        <w:t>1</w:t>
      </w:r>
      <w:r w:rsidRPr="00E92C61">
        <w:rPr>
          <w:rFonts w:cs="AdvP49811"/>
        </w:rPr>
        <w:t xml:space="preserve">, </w:t>
      </w:r>
      <w:proofErr w:type="spellStart"/>
      <w:r w:rsidRPr="00E92C61">
        <w:rPr>
          <w:rFonts w:cs="AdvP49811"/>
        </w:rPr>
        <w:t>Manel</w:t>
      </w:r>
      <w:proofErr w:type="spellEnd"/>
      <w:r w:rsidRPr="00E92C61">
        <w:rPr>
          <w:rFonts w:cs="AdvP49811"/>
        </w:rPr>
        <w:t xml:space="preserve"> Puigcerver</w:t>
      </w:r>
      <w:r w:rsidRPr="00E92C61">
        <w:rPr>
          <w:rFonts w:cs="AdvP49811"/>
          <w:vertAlign w:val="superscript"/>
        </w:rPr>
        <w:t>2</w:t>
      </w:r>
      <w:r w:rsidRPr="00E92C61">
        <w:rPr>
          <w:rFonts w:cs="AdvP49811"/>
        </w:rPr>
        <w:t>, José Domingo Rodríguez-Teijeiro</w:t>
      </w:r>
      <w:r w:rsidRPr="00E92C61">
        <w:rPr>
          <w:rFonts w:cs="AdvP49811"/>
          <w:vertAlign w:val="superscript"/>
        </w:rPr>
        <w:t>3</w:t>
      </w:r>
    </w:p>
    <w:p w:rsidR="00224E8C" w:rsidRPr="00E92C61" w:rsidRDefault="00224E8C" w:rsidP="00224E8C">
      <w:pPr>
        <w:overflowPunct w:val="0"/>
        <w:spacing w:after="0"/>
        <w:rPr>
          <w:rFonts w:cstheme="minorHAnsi"/>
          <w:lang w:val="en-GB"/>
        </w:rPr>
      </w:pPr>
      <w:proofErr w:type="gramStart"/>
      <w:r w:rsidRPr="00E92C61">
        <w:rPr>
          <w:rFonts w:cstheme="minorHAnsi"/>
          <w:vertAlign w:val="superscript"/>
          <w:lang w:val="en-GB"/>
        </w:rPr>
        <w:t>1</w:t>
      </w:r>
      <w:r w:rsidRPr="00E92C61">
        <w:rPr>
          <w:rFonts w:cstheme="minorHAnsi"/>
          <w:lang w:val="en-GB"/>
        </w:rPr>
        <w:t xml:space="preserve"> Conservation</w:t>
      </w:r>
      <w:proofErr w:type="gramEnd"/>
      <w:r w:rsidRPr="00E92C61">
        <w:rPr>
          <w:rFonts w:cstheme="minorHAnsi"/>
          <w:lang w:val="en-GB"/>
        </w:rPr>
        <w:t xml:space="preserve"> and Evolutionary Genetics Group, Doñana Biological Station (EBD-CSIC), Spanish National Research Council, Spain</w:t>
      </w:r>
    </w:p>
    <w:p w:rsidR="00224E8C" w:rsidRPr="00E92C61" w:rsidRDefault="00224E8C" w:rsidP="00224E8C">
      <w:pPr>
        <w:overflowPunct w:val="0"/>
        <w:spacing w:after="0"/>
        <w:rPr>
          <w:rFonts w:cstheme="minorHAnsi"/>
          <w:lang w:val="en-GB"/>
        </w:rPr>
      </w:pPr>
      <w:r w:rsidRPr="00E92C61">
        <w:rPr>
          <w:rFonts w:cstheme="minorHAnsi"/>
          <w:vertAlign w:val="superscript"/>
          <w:lang w:val="en-GB"/>
        </w:rPr>
        <w:t>2</w:t>
      </w:r>
      <w:r w:rsidRPr="00E92C61">
        <w:rPr>
          <w:rFonts w:cstheme="minorHAnsi"/>
          <w:lang w:val="en-GB"/>
        </w:rPr>
        <w:t xml:space="preserve"> Experimental Sciences and Mathematics Didactics Department, University of Barcelona, Spain</w:t>
      </w:r>
    </w:p>
    <w:p w:rsidR="00224E8C" w:rsidRDefault="00224E8C" w:rsidP="00224E8C">
      <w:pPr>
        <w:pStyle w:val="Default"/>
        <w:spacing w:line="276" w:lineRule="auto"/>
        <w:rPr>
          <w:rFonts w:eastAsia="Calibri" w:cstheme="minorHAnsi"/>
          <w:color w:val="00000A"/>
          <w:sz w:val="22"/>
          <w:szCs w:val="22"/>
          <w:lang w:val="en-GB"/>
        </w:rPr>
      </w:pPr>
      <w:proofErr w:type="gramStart"/>
      <w:r w:rsidRPr="00E92C61">
        <w:rPr>
          <w:rFonts w:cstheme="minorHAnsi"/>
          <w:sz w:val="22"/>
          <w:szCs w:val="22"/>
          <w:vertAlign w:val="superscript"/>
          <w:lang w:val="en-GB"/>
        </w:rPr>
        <w:t>3</w:t>
      </w:r>
      <w:r w:rsidRPr="00E92C61">
        <w:rPr>
          <w:rFonts w:cstheme="minorHAnsi"/>
          <w:sz w:val="22"/>
          <w:szCs w:val="22"/>
          <w:lang w:val="en-GB"/>
        </w:rPr>
        <w:t xml:space="preserve"> </w:t>
      </w:r>
      <w:r w:rsidRPr="00E92C61">
        <w:rPr>
          <w:rFonts w:eastAsia="Calibri" w:cstheme="minorHAnsi"/>
          <w:color w:val="00000A"/>
          <w:sz w:val="22"/>
          <w:szCs w:val="22"/>
          <w:lang w:val="en-GB"/>
        </w:rPr>
        <w:t>Evolutionary Biology</w:t>
      </w:r>
      <w:proofErr w:type="gramEnd"/>
      <w:r w:rsidRPr="00E92C61">
        <w:rPr>
          <w:rFonts w:eastAsia="Calibri" w:cstheme="minorHAnsi"/>
          <w:color w:val="00000A"/>
          <w:sz w:val="22"/>
          <w:szCs w:val="22"/>
          <w:lang w:val="en-GB"/>
        </w:rPr>
        <w:t>, Ecology and Environmental Sciences Department, University of Barcelona, Spain</w:t>
      </w:r>
    </w:p>
    <w:p w:rsidR="005960BF" w:rsidRDefault="005960BF" w:rsidP="005960BF">
      <w:pPr>
        <w:spacing w:after="0"/>
        <w:rPr>
          <w:rFonts w:ascii="Calibri" w:eastAsia="Calibri" w:hAnsi="Calibri" w:cstheme="minorHAnsi"/>
          <w:b/>
          <w:color w:val="00000A"/>
          <w:lang w:val="en-GB"/>
        </w:rPr>
      </w:pPr>
      <w:bookmarkStart w:id="0" w:name="_GoBack"/>
      <w:bookmarkEnd w:id="0"/>
    </w:p>
    <w:p w:rsidR="005960BF" w:rsidRPr="005960BF" w:rsidRDefault="005960BF" w:rsidP="005960BF">
      <w:pPr>
        <w:rPr>
          <w:rFonts w:ascii="Calibri" w:eastAsia="Calibri" w:hAnsi="Calibri" w:cstheme="minorHAnsi"/>
          <w:color w:val="00000A"/>
          <w:lang w:val="en-US"/>
        </w:rPr>
      </w:pPr>
      <w:r w:rsidRPr="005960BF">
        <w:rPr>
          <w:rFonts w:ascii="Calibri" w:eastAsia="Calibri" w:hAnsi="Calibri" w:cstheme="minorHAnsi"/>
          <w:b/>
          <w:color w:val="00000A"/>
          <w:lang w:val="en-US"/>
        </w:rPr>
        <w:t>Primary contact</w:t>
      </w:r>
      <w:r w:rsidRPr="00647E81">
        <w:rPr>
          <w:rFonts w:ascii="Calibri" w:eastAsia="Calibri" w:hAnsi="Calibri" w:cstheme="minorHAnsi"/>
          <w:color w:val="00000A"/>
          <w:lang w:val="en-US"/>
        </w:rPr>
        <w:t>: Ines Sanchez-</w:t>
      </w:r>
      <w:proofErr w:type="spellStart"/>
      <w:r w:rsidRPr="00647E81">
        <w:rPr>
          <w:rFonts w:ascii="Calibri" w:eastAsia="Calibri" w:hAnsi="Calibri" w:cstheme="minorHAnsi"/>
          <w:color w:val="00000A"/>
          <w:lang w:val="en-US"/>
        </w:rPr>
        <w:t>Donoso</w:t>
      </w:r>
      <w:proofErr w:type="spellEnd"/>
      <w:r w:rsidRPr="00647E81">
        <w:rPr>
          <w:rFonts w:ascii="Calibri" w:eastAsia="Calibri" w:hAnsi="Calibri" w:cstheme="minorHAnsi"/>
          <w:color w:val="00000A"/>
          <w:lang w:val="en-US"/>
        </w:rPr>
        <w:t xml:space="preserve"> </w:t>
      </w:r>
      <w:hyperlink r:id="rId5" w:history="1">
        <w:r w:rsidRPr="00647E81">
          <w:rPr>
            <w:rFonts w:ascii="Calibri" w:eastAsia="Calibri" w:hAnsi="Calibri" w:cstheme="minorHAnsi"/>
            <w:color w:val="00000A"/>
            <w:lang w:val="en-US"/>
          </w:rPr>
          <w:t>ines.sanchezdonoso@gmail.com</w:t>
        </w:r>
      </w:hyperlink>
      <w:r w:rsidRPr="00647E81">
        <w:rPr>
          <w:rFonts w:ascii="Calibri" w:eastAsia="Calibri" w:hAnsi="Calibri" w:cstheme="minorHAnsi"/>
          <w:color w:val="00000A"/>
          <w:lang w:val="en-US"/>
        </w:rPr>
        <w:t>.</w:t>
      </w:r>
    </w:p>
    <w:p w:rsidR="00224E8C" w:rsidRDefault="00224E8C" w:rsidP="005960BF">
      <w:pPr>
        <w:spacing w:after="0"/>
        <w:rPr>
          <w:rFonts w:ascii="Calibri" w:eastAsia="Calibri" w:hAnsi="Calibri" w:cstheme="minorHAnsi"/>
          <w:color w:val="00000A"/>
          <w:lang w:val="en-US"/>
        </w:rPr>
      </w:pPr>
      <w:r>
        <w:rPr>
          <w:rFonts w:ascii="Calibri" w:eastAsia="Calibri" w:hAnsi="Calibri" w:cstheme="minorHAnsi"/>
          <w:b/>
          <w:color w:val="00000A"/>
          <w:lang w:val="en-US"/>
        </w:rPr>
        <w:t>Summary</w:t>
      </w:r>
      <w:r w:rsidRPr="00647E81">
        <w:rPr>
          <w:rFonts w:ascii="Calibri" w:eastAsia="Calibri" w:hAnsi="Calibri" w:cstheme="minorHAnsi"/>
          <w:color w:val="00000A"/>
          <w:lang w:val="en-US"/>
        </w:rPr>
        <w:t>:</w:t>
      </w:r>
      <w:r w:rsidR="005960BF">
        <w:rPr>
          <w:rFonts w:ascii="Calibri" w:eastAsia="Calibri" w:hAnsi="Calibri" w:cstheme="minorHAnsi"/>
          <w:color w:val="00000A"/>
          <w:lang w:val="en-US"/>
        </w:rPr>
        <w:t xml:space="preserve"> </w:t>
      </w:r>
      <w:r w:rsidRPr="00647E81">
        <w:rPr>
          <w:rFonts w:ascii="Calibri" w:eastAsia="Calibri" w:hAnsi="Calibri" w:cstheme="minorHAnsi"/>
          <w:color w:val="00000A"/>
          <w:lang w:val="en-US"/>
        </w:rPr>
        <w:t xml:space="preserve">Genotypes (9 microsatellite loci) of breeding Common quails </w:t>
      </w:r>
      <w:r>
        <w:rPr>
          <w:rFonts w:eastAsia="Calibri" w:cstheme="minorHAnsi"/>
          <w:color w:val="00000A"/>
          <w:lang w:val="en-US"/>
        </w:rPr>
        <w:t>(</w:t>
      </w:r>
      <w:r w:rsidRPr="00647E81">
        <w:rPr>
          <w:rFonts w:eastAsia="Calibri" w:cstheme="minorHAnsi"/>
          <w:i/>
          <w:color w:val="00000A"/>
          <w:lang w:val="en-US"/>
        </w:rPr>
        <w:t>Coturnix coturnix</w:t>
      </w:r>
      <w:r>
        <w:rPr>
          <w:rFonts w:eastAsia="Calibri" w:cstheme="minorHAnsi"/>
          <w:color w:val="00000A"/>
          <w:lang w:val="en-US"/>
        </w:rPr>
        <w:t xml:space="preserve">) </w:t>
      </w:r>
      <w:r w:rsidRPr="00647E81">
        <w:rPr>
          <w:rFonts w:ascii="Calibri" w:eastAsia="Calibri" w:hAnsi="Calibri" w:cstheme="minorHAnsi"/>
          <w:color w:val="00000A"/>
          <w:lang w:val="en-US"/>
        </w:rPr>
        <w:t xml:space="preserve">and their offspring sampled in Northeast Spain for paternity analyses. These genotypes were studied in the </w:t>
      </w:r>
      <w:r w:rsidRPr="005960BF">
        <w:rPr>
          <w:rFonts w:ascii="Calibri" w:eastAsia="Calibri" w:hAnsi="Calibri" w:cstheme="minorHAnsi"/>
          <w:color w:val="00000A"/>
          <w:lang w:val="en-US"/>
        </w:rPr>
        <w:t>article</w:t>
      </w:r>
      <w:r w:rsidRPr="00647E81">
        <w:rPr>
          <w:rFonts w:ascii="Calibri" w:eastAsia="Calibri" w:hAnsi="Calibri" w:cstheme="minorHAnsi"/>
          <w:color w:val="00000A"/>
          <w:lang w:val="en-US"/>
        </w:rPr>
        <w:t xml:space="preserve"> Sanchez-</w:t>
      </w:r>
      <w:proofErr w:type="spellStart"/>
      <w:r w:rsidRPr="00647E81">
        <w:rPr>
          <w:rFonts w:ascii="Calibri" w:eastAsia="Calibri" w:hAnsi="Calibri" w:cstheme="minorHAnsi"/>
          <w:color w:val="00000A"/>
          <w:lang w:val="en-US"/>
        </w:rPr>
        <w:t>Donoso</w:t>
      </w:r>
      <w:proofErr w:type="spellEnd"/>
      <w:r w:rsidRPr="00647E81">
        <w:rPr>
          <w:rFonts w:ascii="Calibri" w:eastAsia="Calibri" w:hAnsi="Calibri" w:cstheme="minorHAnsi"/>
          <w:color w:val="00000A"/>
          <w:lang w:val="en-US"/>
        </w:rPr>
        <w:t xml:space="preserve"> I, Vilà C, </w:t>
      </w:r>
      <w:proofErr w:type="spellStart"/>
      <w:r w:rsidRPr="00647E81">
        <w:rPr>
          <w:rFonts w:ascii="Calibri" w:eastAsia="Calibri" w:hAnsi="Calibri" w:cstheme="minorHAnsi"/>
          <w:color w:val="00000A"/>
          <w:lang w:val="en-US"/>
        </w:rPr>
        <w:t>Puigc</w:t>
      </w:r>
      <w:r>
        <w:rPr>
          <w:rFonts w:ascii="Calibri" w:eastAsia="Calibri" w:hAnsi="Calibri" w:cstheme="minorHAnsi"/>
          <w:color w:val="00000A"/>
          <w:lang w:val="en-US"/>
        </w:rPr>
        <w:t>erver</w:t>
      </w:r>
      <w:proofErr w:type="spellEnd"/>
      <w:r>
        <w:rPr>
          <w:rFonts w:ascii="Calibri" w:eastAsia="Calibri" w:hAnsi="Calibri" w:cstheme="minorHAnsi"/>
          <w:color w:val="00000A"/>
          <w:lang w:val="en-US"/>
        </w:rPr>
        <w:t xml:space="preserve"> M, Rodríguez-</w:t>
      </w:r>
      <w:proofErr w:type="spellStart"/>
      <w:r>
        <w:rPr>
          <w:rFonts w:ascii="Calibri" w:eastAsia="Calibri" w:hAnsi="Calibri" w:cstheme="minorHAnsi"/>
          <w:color w:val="00000A"/>
          <w:lang w:val="en-US"/>
        </w:rPr>
        <w:t>Teijeiro</w:t>
      </w:r>
      <w:proofErr w:type="spellEnd"/>
      <w:r>
        <w:rPr>
          <w:rFonts w:ascii="Calibri" w:eastAsia="Calibri" w:hAnsi="Calibri" w:cstheme="minorHAnsi"/>
          <w:color w:val="00000A"/>
          <w:lang w:val="en-US"/>
        </w:rPr>
        <w:t xml:space="preserve"> JD.</w:t>
      </w:r>
      <w:r w:rsidRPr="00647E81">
        <w:rPr>
          <w:rFonts w:ascii="Calibri" w:eastAsia="Calibri" w:hAnsi="Calibri" w:cstheme="minorHAnsi"/>
          <w:color w:val="00000A"/>
          <w:lang w:val="en-US"/>
        </w:rPr>
        <w:t xml:space="preserve"> Mate guarding and male body condition shape male fertilization success and female mating system in the Common Quail. </w:t>
      </w:r>
      <w:r w:rsidRPr="00753F5F">
        <w:rPr>
          <w:rFonts w:ascii="Calibri" w:eastAsia="Calibri" w:hAnsi="Calibri" w:cstheme="minorHAnsi"/>
          <w:i/>
          <w:color w:val="00000A"/>
          <w:lang w:val="en-US"/>
        </w:rPr>
        <w:t xml:space="preserve">Animal </w:t>
      </w:r>
      <w:proofErr w:type="spellStart"/>
      <w:r w:rsidRPr="00753F5F">
        <w:rPr>
          <w:rFonts w:ascii="Calibri" w:eastAsia="Calibri" w:hAnsi="Calibri" w:cstheme="minorHAnsi"/>
          <w:i/>
          <w:color w:val="00000A"/>
          <w:lang w:val="en-US"/>
        </w:rPr>
        <w:t>Behaviour</w:t>
      </w:r>
      <w:proofErr w:type="spellEnd"/>
      <w:r w:rsidRPr="00647E81">
        <w:rPr>
          <w:rFonts w:ascii="Calibri" w:eastAsia="Calibri" w:hAnsi="Calibri" w:cstheme="minorHAnsi"/>
          <w:color w:val="00000A"/>
          <w:lang w:val="en-US"/>
        </w:rPr>
        <w:t>, in press.</w:t>
      </w:r>
    </w:p>
    <w:p w:rsidR="005960BF" w:rsidRDefault="00224E8C" w:rsidP="00647E81">
      <w:pPr>
        <w:rPr>
          <w:rFonts w:ascii="Calibri" w:eastAsia="Calibri" w:hAnsi="Calibri" w:cstheme="minorHAnsi"/>
          <w:color w:val="00000A"/>
          <w:lang w:val="en-US"/>
        </w:rPr>
      </w:pPr>
      <w:r w:rsidRPr="00647E81">
        <w:rPr>
          <w:rFonts w:ascii="Calibri" w:eastAsia="Calibri" w:hAnsi="Calibri" w:cstheme="minorHAnsi"/>
          <w:color w:val="00000A"/>
          <w:lang w:val="en-US"/>
        </w:rPr>
        <w:t>In this study, we investigated female mate choice and male fertilization success in the Common quail by monitoring adult quails and assigning genetic paternity of their offspring. First we described the female mating system and the factors associated with it. Second we studied the relationship between male fertilization success and pair-bond order, pair-bond duration and male body condition. Finally, we explored whether male body condition shapes the male trade-off between mate guarding or looking for new mates.</w:t>
      </w:r>
      <w:r>
        <w:rPr>
          <w:rFonts w:ascii="Calibri" w:eastAsia="Calibri" w:hAnsi="Calibri" w:cstheme="minorHAnsi"/>
          <w:color w:val="00000A"/>
          <w:lang w:val="en-US"/>
        </w:rPr>
        <w:t xml:space="preserve"> </w:t>
      </w:r>
    </w:p>
    <w:p w:rsidR="005960BF" w:rsidRDefault="005960BF" w:rsidP="005960BF">
      <w:pPr>
        <w:pStyle w:val="Default"/>
        <w:spacing w:line="276" w:lineRule="auto"/>
        <w:rPr>
          <w:rFonts w:asciiTheme="minorHAnsi" w:hAnsiTheme="minorHAnsi" w:cstheme="minorHAnsi"/>
          <w:color w:val="auto"/>
          <w:sz w:val="22"/>
          <w:szCs w:val="22"/>
          <w:lang w:val="en-GB"/>
        </w:rPr>
      </w:pPr>
      <w:r>
        <w:rPr>
          <w:rFonts w:eastAsia="Calibri" w:cstheme="minorHAnsi"/>
          <w:b/>
          <w:color w:val="00000A"/>
          <w:sz w:val="22"/>
          <w:szCs w:val="22"/>
          <w:lang w:val="en-US"/>
        </w:rPr>
        <w:t xml:space="preserve">Keywords: </w:t>
      </w:r>
      <w:r w:rsidRPr="00DE253F">
        <w:rPr>
          <w:rFonts w:asciiTheme="minorHAnsi" w:hAnsiTheme="minorHAnsi" w:cstheme="minorHAnsi"/>
          <w:i/>
          <w:color w:val="auto"/>
          <w:sz w:val="22"/>
          <w:szCs w:val="22"/>
          <w:lang w:val="en-GB"/>
        </w:rPr>
        <w:t xml:space="preserve">Coturnix </w:t>
      </w:r>
      <w:proofErr w:type="spellStart"/>
      <w:r w:rsidRPr="00DE253F">
        <w:rPr>
          <w:rFonts w:asciiTheme="minorHAnsi" w:hAnsiTheme="minorHAnsi" w:cstheme="minorHAnsi"/>
          <w:i/>
          <w:color w:val="auto"/>
          <w:sz w:val="22"/>
          <w:szCs w:val="22"/>
          <w:lang w:val="en-GB"/>
        </w:rPr>
        <w:t>coturnix</w:t>
      </w:r>
      <w:proofErr w:type="spellEnd"/>
      <w:r w:rsidRPr="00DE253F">
        <w:rPr>
          <w:rFonts w:asciiTheme="minorHAnsi" w:hAnsiTheme="minorHAnsi" w:cstheme="minorHAnsi"/>
          <w:color w:val="auto"/>
          <w:sz w:val="22"/>
          <w:szCs w:val="22"/>
          <w:lang w:val="en-GB"/>
        </w:rPr>
        <w:t xml:space="preserve">, mating system, microsatellites, pair-bond, paternity analysis, </w:t>
      </w:r>
      <w:proofErr w:type="spellStart"/>
      <w:r w:rsidRPr="00DE253F">
        <w:rPr>
          <w:rFonts w:asciiTheme="minorHAnsi" w:hAnsiTheme="minorHAnsi" w:cstheme="minorHAnsi"/>
          <w:color w:val="auto"/>
          <w:sz w:val="22"/>
          <w:szCs w:val="22"/>
          <w:lang w:val="en-GB"/>
        </w:rPr>
        <w:t>radiotelemetry</w:t>
      </w:r>
      <w:proofErr w:type="spellEnd"/>
      <w:r w:rsidRPr="00DE253F">
        <w:rPr>
          <w:rFonts w:asciiTheme="minorHAnsi" w:hAnsiTheme="minorHAnsi" w:cstheme="minorHAnsi"/>
          <w:color w:val="auto"/>
          <w:sz w:val="22"/>
          <w:szCs w:val="22"/>
          <w:lang w:val="en-GB"/>
        </w:rPr>
        <w:t>, sperm loading hypothesis, sperm precedence</w:t>
      </w:r>
      <w:r>
        <w:rPr>
          <w:rFonts w:asciiTheme="minorHAnsi" w:hAnsiTheme="minorHAnsi" w:cstheme="minorHAnsi"/>
          <w:color w:val="auto"/>
          <w:sz w:val="22"/>
          <w:szCs w:val="22"/>
          <w:lang w:val="en-GB"/>
        </w:rPr>
        <w:t>.</w:t>
      </w:r>
    </w:p>
    <w:p w:rsidR="005960BF" w:rsidRPr="005960BF" w:rsidRDefault="005960BF" w:rsidP="005960BF">
      <w:pPr>
        <w:pStyle w:val="Default"/>
        <w:spacing w:line="276" w:lineRule="auto"/>
        <w:rPr>
          <w:rFonts w:eastAsia="Calibri" w:cstheme="minorHAnsi"/>
          <w:b/>
          <w:color w:val="00000A"/>
          <w:sz w:val="22"/>
          <w:szCs w:val="22"/>
          <w:lang w:val="en-US"/>
        </w:rPr>
      </w:pPr>
    </w:p>
    <w:p w:rsidR="005960BF" w:rsidRPr="005960BF" w:rsidRDefault="00224E8C" w:rsidP="005960BF">
      <w:pPr>
        <w:rPr>
          <w:rFonts w:ascii="Calibri" w:eastAsia="Calibri" w:hAnsi="Calibri" w:cstheme="minorHAnsi"/>
          <w:color w:val="00000A"/>
          <w:lang w:val="en-US"/>
        </w:rPr>
      </w:pPr>
      <w:r>
        <w:rPr>
          <w:rFonts w:ascii="Calibri" w:eastAsia="Calibri" w:hAnsi="Calibri" w:cstheme="minorHAnsi"/>
          <w:b/>
          <w:color w:val="00000A"/>
          <w:lang w:val="en-US"/>
        </w:rPr>
        <w:t xml:space="preserve">Time span: </w:t>
      </w:r>
      <w:r w:rsidRPr="00DE253F">
        <w:rPr>
          <w:rFonts w:ascii="Calibri" w:eastAsia="Calibri" w:hAnsi="Calibri" w:cstheme="minorHAnsi"/>
          <w:color w:val="00000A"/>
          <w:lang w:val="en-US"/>
        </w:rPr>
        <w:t>1996, 1997, 1999, 2000, 2001</w:t>
      </w:r>
    </w:p>
    <w:p w:rsidR="005960BF" w:rsidRPr="005960BF" w:rsidRDefault="005960BF" w:rsidP="005960BF">
      <w:pPr>
        <w:spacing w:after="0"/>
        <w:rPr>
          <w:rFonts w:ascii="Calibri" w:eastAsia="Calibri" w:hAnsi="Calibri" w:cstheme="minorHAnsi"/>
          <w:b/>
          <w:color w:val="00000A"/>
          <w:lang w:val="en-US"/>
        </w:rPr>
      </w:pPr>
      <w:r w:rsidRPr="005960BF">
        <w:rPr>
          <w:rFonts w:ascii="Calibri" w:eastAsia="Calibri" w:hAnsi="Calibri" w:cstheme="minorHAnsi"/>
          <w:b/>
          <w:color w:val="00000A"/>
          <w:lang w:val="en-US"/>
        </w:rPr>
        <w:t>Dataset codes:</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Ring / Offspring ID: Number of ring for the breeding individuals, identification code for the offspring.</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Type of individual: 1, breeding male; 2, breeding female; 3, offspring.</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Brood: Brood code, according to Table 1 and Figure 1S.</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Male ID (see Figure S1, Supp. Info.): Male identification code, according to Figure S1.</w:t>
      </w:r>
    </w:p>
    <w:p w:rsidR="005960BF" w:rsidRPr="005960BF" w:rsidRDefault="005960BF" w:rsidP="005960BF">
      <w:pPr>
        <w:spacing w:after="0"/>
        <w:rPr>
          <w:rFonts w:ascii="Calibri" w:eastAsia="Calibri" w:hAnsi="Calibri" w:cstheme="minorHAnsi"/>
          <w:color w:val="00000A"/>
          <w:lang w:val="en-US"/>
        </w:rPr>
      </w:pPr>
      <w:r>
        <w:rPr>
          <w:rFonts w:ascii="Calibri" w:eastAsia="Calibri" w:hAnsi="Calibri" w:cstheme="minorHAnsi"/>
          <w:color w:val="00000A"/>
          <w:lang w:val="en-US"/>
        </w:rPr>
        <w:t>Year</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Rest of the columns: Alleles for each microsatellite locus (</w:t>
      </w:r>
      <w:proofErr w:type="spellStart"/>
      <w:r w:rsidRPr="005960BF">
        <w:rPr>
          <w:rFonts w:ascii="Calibri" w:eastAsia="Calibri" w:hAnsi="Calibri" w:cstheme="minorHAnsi"/>
          <w:color w:val="00000A"/>
          <w:lang w:val="en-US"/>
        </w:rPr>
        <w:t>Kayang</w:t>
      </w:r>
      <w:proofErr w:type="spellEnd"/>
      <w:r w:rsidRPr="005960BF">
        <w:rPr>
          <w:rFonts w:ascii="Calibri" w:eastAsia="Calibri" w:hAnsi="Calibri" w:cstheme="minorHAnsi"/>
          <w:color w:val="00000A"/>
          <w:lang w:val="en-US"/>
        </w:rPr>
        <w:t xml:space="preserve"> et al., 2000; 2002).</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01: GUJ0001</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39: GUJ0039</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44: GUJ0044</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57: GUJ0057</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65: GUJ0065</w:t>
      </w:r>
    </w:p>
    <w:p w:rsidR="005960BF" w:rsidRPr="005960B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74: GUJ0074</w:t>
      </w:r>
    </w:p>
    <w:p w:rsidR="005960BF" w:rsidRPr="005960BF" w:rsidRDefault="005960BF" w:rsidP="005960BF">
      <w:pPr>
        <w:spacing w:after="0"/>
        <w:rPr>
          <w:rFonts w:ascii="Calibri" w:eastAsia="Calibri" w:hAnsi="Calibri" w:cstheme="minorHAnsi"/>
          <w:color w:val="00000A"/>
        </w:rPr>
      </w:pPr>
      <w:r w:rsidRPr="005960BF">
        <w:rPr>
          <w:rFonts w:ascii="Calibri" w:eastAsia="Calibri" w:hAnsi="Calibri" w:cstheme="minorHAnsi"/>
          <w:color w:val="00000A"/>
        </w:rPr>
        <w:t>85: GUJ0085</w:t>
      </w:r>
    </w:p>
    <w:p w:rsidR="005960BF" w:rsidRPr="005960BF" w:rsidRDefault="005960BF" w:rsidP="005960BF">
      <w:pPr>
        <w:spacing w:after="0"/>
        <w:rPr>
          <w:rFonts w:ascii="Calibri" w:eastAsia="Calibri" w:hAnsi="Calibri" w:cstheme="minorHAnsi"/>
          <w:color w:val="00000A"/>
        </w:rPr>
      </w:pPr>
      <w:r w:rsidRPr="005960BF">
        <w:rPr>
          <w:rFonts w:ascii="Calibri" w:eastAsia="Calibri" w:hAnsi="Calibri" w:cstheme="minorHAnsi"/>
          <w:color w:val="00000A"/>
        </w:rPr>
        <w:t xml:space="preserve">93: GUJ0093 </w:t>
      </w:r>
    </w:p>
    <w:p w:rsidR="005960BF" w:rsidRPr="005960BF" w:rsidRDefault="005960BF" w:rsidP="005960BF">
      <w:pPr>
        <w:spacing w:after="0"/>
        <w:rPr>
          <w:rFonts w:ascii="Calibri" w:eastAsia="Calibri" w:hAnsi="Calibri" w:cstheme="minorHAnsi"/>
          <w:color w:val="00000A"/>
        </w:rPr>
      </w:pPr>
      <w:r w:rsidRPr="005960BF">
        <w:rPr>
          <w:rFonts w:ascii="Calibri" w:eastAsia="Calibri" w:hAnsi="Calibri" w:cstheme="minorHAnsi"/>
          <w:color w:val="00000A"/>
        </w:rPr>
        <w:t>97: GUJ0097</w:t>
      </w:r>
    </w:p>
    <w:p w:rsidR="005960BF" w:rsidRPr="005960BF" w:rsidRDefault="005960BF" w:rsidP="005960BF">
      <w:pPr>
        <w:spacing w:after="0"/>
        <w:rPr>
          <w:rFonts w:ascii="Calibri" w:eastAsia="Calibri" w:hAnsi="Calibri" w:cstheme="minorHAnsi"/>
          <w:color w:val="00000A"/>
        </w:rPr>
      </w:pPr>
      <w:r w:rsidRPr="005960BF">
        <w:rPr>
          <w:rFonts w:ascii="Calibri" w:eastAsia="Calibri" w:hAnsi="Calibri" w:cstheme="minorHAnsi"/>
          <w:color w:val="00000A"/>
        </w:rPr>
        <w:t xml:space="preserve">A: </w:t>
      </w:r>
      <w:proofErr w:type="spellStart"/>
      <w:r w:rsidRPr="005960BF">
        <w:rPr>
          <w:rFonts w:ascii="Calibri" w:eastAsia="Calibri" w:hAnsi="Calibri" w:cstheme="minorHAnsi"/>
          <w:color w:val="00000A"/>
        </w:rPr>
        <w:t>allele</w:t>
      </w:r>
      <w:proofErr w:type="spellEnd"/>
      <w:r w:rsidRPr="005960BF">
        <w:rPr>
          <w:rFonts w:ascii="Calibri" w:eastAsia="Calibri" w:hAnsi="Calibri" w:cstheme="minorHAnsi"/>
          <w:color w:val="00000A"/>
        </w:rPr>
        <w:t xml:space="preserve"> 1 </w:t>
      </w:r>
    </w:p>
    <w:p w:rsidR="00DE253F" w:rsidRDefault="005960BF" w:rsidP="005960BF">
      <w:pPr>
        <w:spacing w:after="0"/>
        <w:rPr>
          <w:rFonts w:ascii="Calibri" w:eastAsia="Calibri" w:hAnsi="Calibri" w:cstheme="minorHAnsi"/>
          <w:color w:val="00000A"/>
          <w:lang w:val="en-US"/>
        </w:rPr>
      </w:pPr>
      <w:r w:rsidRPr="005960BF">
        <w:rPr>
          <w:rFonts w:ascii="Calibri" w:eastAsia="Calibri" w:hAnsi="Calibri" w:cstheme="minorHAnsi"/>
          <w:color w:val="00000A"/>
          <w:lang w:val="en-US"/>
        </w:rPr>
        <w:t>B: allele 2</w:t>
      </w:r>
    </w:p>
    <w:sectPr w:rsidR="00DE253F" w:rsidSect="005960BF">
      <w:pgSz w:w="11906" w:h="16838"/>
      <w:pgMar w:top="1276" w:right="1274"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vP49811">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C61"/>
    <w:rsid w:val="001C58C6"/>
    <w:rsid w:val="00224E8C"/>
    <w:rsid w:val="00264152"/>
    <w:rsid w:val="004574DB"/>
    <w:rsid w:val="004A0CB0"/>
    <w:rsid w:val="005960BF"/>
    <w:rsid w:val="00647E81"/>
    <w:rsid w:val="00753F5F"/>
    <w:rsid w:val="00CE5539"/>
    <w:rsid w:val="00DE253F"/>
    <w:rsid w:val="00E92C61"/>
    <w:rsid w:val="00EF7BD9"/>
    <w:rsid w:val="00EF7DDC"/>
    <w:rsid w:val="00F621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92C61"/>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647E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92C61"/>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647E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es.sanchezdonoso@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358</Words>
  <Characters>1975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5</cp:revision>
  <dcterms:created xsi:type="dcterms:W3CDTF">2017-11-20T09:59:00Z</dcterms:created>
  <dcterms:modified xsi:type="dcterms:W3CDTF">2017-11-20T10:11:00Z</dcterms:modified>
</cp:coreProperties>
</file>